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33/CK/2025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bookmarkStart w:colFirst="0" w:colLast="0" w:name="_heading=h.asabxj868s" w:id="2"/>
      <w:bookmarkEnd w:id="2"/>
      <w:r w:rsidDel="00000000" w:rsidR="00000000" w:rsidRPr="00000000">
        <w:rPr>
          <w:rtl w:val="0"/>
        </w:rPr>
        <w:t xml:space="preserve">W odpowiedzi na Zapytanie ofertowe nr 33/CK/2025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Łodzi,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Cena brutto za kompletny zestaw wyposażenia 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a. Drukarka / urządzenie wielofunkcyjne (2 sztuki)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b. Zestaw do Wideokonferencji (1 zestaw)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c. Projektor i ekran projekcyjny (1 zestaw)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d. Laminarka (1 sztuka)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e. Niszczarka (1 sztuka)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6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27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14 dni od dnia podpisania umowy.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sprzętu elektronicznego lub/i audiowizualnego, każde o wartości minimum 15 000,00 zł (słownie: piętnaście tysięcy złotych) netto.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3F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3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9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Ih0bTuPzz9zF6tS4uA3nYcLGLQ==">CgMxLjAyCGguZ2pkZ3hzMgloLjMwajB6bGwyDGguYXNhYnhqODY4czIJaC4xZm9iOXRlOAByITEwckVzaXVSNnM4UjRoMm52RENjb1dBQVQwV21kODRXbw==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